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2D" w:rsidRPr="00B47065" w:rsidRDefault="00B47065" w:rsidP="00B47065">
      <w:pPr>
        <w:jc w:val="center"/>
        <w:rPr>
          <w:b/>
          <w:sz w:val="24"/>
          <w:szCs w:val="24"/>
        </w:rPr>
      </w:pPr>
      <w:r w:rsidRPr="00B47065">
        <w:rPr>
          <w:b/>
          <w:sz w:val="24"/>
          <w:szCs w:val="24"/>
        </w:rPr>
        <w:t>Professional Learning Plan</w:t>
      </w:r>
    </w:p>
    <w:p w:rsidR="00B47065" w:rsidRDefault="002F43BB" w:rsidP="00B470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2019/2020</w:t>
      </w:r>
    </w:p>
    <w:p w:rsidR="00B47065" w:rsidRDefault="00B47065" w:rsidP="00B47065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2551"/>
        <w:gridCol w:w="2162"/>
        <w:gridCol w:w="2374"/>
        <w:gridCol w:w="1948"/>
      </w:tblGrid>
      <w:tr w:rsidR="00B47065" w:rsidTr="004F4072">
        <w:tc>
          <w:tcPr>
            <w:tcW w:w="988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No</w:t>
            </w:r>
          </w:p>
          <w:p w:rsidR="004F4072" w:rsidRPr="004F4072" w:rsidRDefault="004F4072" w:rsidP="00B47065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National Mission Link</w:t>
            </w:r>
          </w:p>
        </w:tc>
        <w:tc>
          <w:tcPr>
            <w:tcW w:w="2552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Planned Activity</w:t>
            </w:r>
          </w:p>
        </w:tc>
        <w:tc>
          <w:tcPr>
            <w:tcW w:w="2551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2162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2374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Type of Spend</w:t>
            </w:r>
          </w:p>
        </w:tc>
        <w:tc>
          <w:tcPr>
            <w:tcW w:w="1948" w:type="dxa"/>
          </w:tcPr>
          <w:p w:rsidR="00B47065" w:rsidRPr="004F4072" w:rsidRDefault="00A107FF" w:rsidP="00B47065">
            <w:pPr>
              <w:rPr>
                <w:b/>
                <w:sz w:val="24"/>
                <w:szCs w:val="24"/>
              </w:rPr>
            </w:pPr>
            <w:r w:rsidRPr="004F4072">
              <w:rPr>
                <w:b/>
                <w:sz w:val="24"/>
                <w:szCs w:val="24"/>
              </w:rPr>
              <w:t>Cost</w:t>
            </w:r>
          </w:p>
        </w:tc>
      </w:tr>
      <w:tr w:rsidR="00B47065" w:rsidTr="004F4072">
        <w:tc>
          <w:tcPr>
            <w:tcW w:w="988" w:type="dxa"/>
          </w:tcPr>
          <w:p w:rsidR="00B47065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B47065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 high quality education profession</w:t>
            </w:r>
          </w:p>
        </w:tc>
        <w:tc>
          <w:tcPr>
            <w:tcW w:w="2552" w:type="dxa"/>
          </w:tcPr>
          <w:p w:rsidR="00B47065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all senior leaders, middle leaders and staff are coherent with the new professional standards</w:t>
            </w:r>
          </w:p>
          <w:p w:rsidR="004726C1" w:rsidRDefault="001560B7" w:rsidP="004726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Pr="001560B7">
              <w:rPr>
                <w:sz w:val="24"/>
                <w:szCs w:val="24"/>
              </w:rPr>
              <w:t>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Meeting schedule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Spreadsheet of external training</w:t>
            </w:r>
          </w:p>
        </w:tc>
        <w:tc>
          <w:tcPr>
            <w:tcW w:w="2551" w:type="dxa"/>
          </w:tcPr>
          <w:p w:rsidR="003209D5" w:rsidRDefault="004F4072" w:rsidP="0032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staff have attended relevant training and use knowledge gained from this training to ensure all staff fully understand the relevance of the new professional standards</w:t>
            </w:r>
            <w:r w:rsidR="003209D5">
              <w:rPr>
                <w:sz w:val="24"/>
                <w:szCs w:val="24"/>
              </w:rPr>
              <w:t xml:space="preserve">. Staff are able to use the professional standards to set their performance management objective 3 </w:t>
            </w:r>
          </w:p>
          <w:p w:rsidR="003209D5" w:rsidRDefault="003209D5" w:rsidP="0032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 &amp; L internal</w:t>
            </w:r>
          </w:p>
          <w:p w:rsidR="00B47065" w:rsidRDefault="003209D5" w:rsidP="00320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documentation is linked to the PS’s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4F4072" w:rsidRDefault="004F4072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B47065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t</w:t>
            </w:r>
            <w:r w:rsidR="009C43C7">
              <w:rPr>
                <w:sz w:val="24"/>
                <w:szCs w:val="24"/>
              </w:rPr>
              <w:t>o raise the quality of teachers (</w:t>
            </w:r>
            <w:r>
              <w:rPr>
                <w:sz w:val="24"/>
                <w:szCs w:val="24"/>
              </w:rPr>
              <w:t>WAG and CSC courses)</w:t>
            </w:r>
          </w:p>
          <w:p w:rsidR="004F4072" w:rsidRDefault="004F4072" w:rsidP="00B47065">
            <w:pPr>
              <w:rPr>
                <w:sz w:val="24"/>
                <w:szCs w:val="24"/>
              </w:rPr>
            </w:pPr>
          </w:p>
          <w:p w:rsidR="004F4072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twilight session</w:t>
            </w:r>
          </w:p>
        </w:tc>
        <w:tc>
          <w:tcPr>
            <w:tcW w:w="1948" w:type="dxa"/>
          </w:tcPr>
          <w:p w:rsidR="004F4072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£1500</w:t>
            </w:r>
          </w:p>
          <w:p w:rsidR="00FF19D4" w:rsidRDefault="00FF19D4" w:rsidP="00B47065">
            <w:pPr>
              <w:rPr>
                <w:sz w:val="24"/>
                <w:szCs w:val="24"/>
              </w:rPr>
            </w:pPr>
          </w:p>
          <w:p w:rsidR="00FF19D4" w:rsidRDefault="00FF19D4" w:rsidP="00B47065">
            <w:pPr>
              <w:rPr>
                <w:sz w:val="24"/>
                <w:szCs w:val="24"/>
              </w:rPr>
            </w:pPr>
          </w:p>
          <w:p w:rsidR="00FF19D4" w:rsidRDefault="00FF19D4" w:rsidP="00B47065">
            <w:pPr>
              <w:rPr>
                <w:sz w:val="24"/>
                <w:szCs w:val="24"/>
              </w:rPr>
            </w:pPr>
          </w:p>
          <w:p w:rsidR="00FF19D4" w:rsidRDefault="00FF19D4" w:rsidP="00B47065">
            <w:pPr>
              <w:rPr>
                <w:sz w:val="24"/>
                <w:szCs w:val="24"/>
              </w:rPr>
            </w:pPr>
          </w:p>
          <w:p w:rsidR="00FF19D4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£2000</w:t>
            </w:r>
          </w:p>
        </w:tc>
      </w:tr>
      <w:tr w:rsidR="004F4072" w:rsidTr="004F4072">
        <w:tc>
          <w:tcPr>
            <w:tcW w:w="988" w:type="dxa"/>
          </w:tcPr>
          <w:p w:rsidR="004F4072" w:rsidRDefault="004F407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4F4072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 high quality education profession</w:t>
            </w:r>
          </w:p>
        </w:tc>
        <w:tc>
          <w:tcPr>
            <w:tcW w:w="2552" w:type="dxa"/>
          </w:tcPr>
          <w:p w:rsidR="004F4072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all senior leaders, middle leaders and staff are coherent with the philosophy of the school as a learning organisation</w:t>
            </w:r>
          </w:p>
          <w:p w:rsidR="001560B7" w:rsidRDefault="001560B7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Pr="001560B7">
              <w:rPr>
                <w:sz w:val="24"/>
                <w:szCs w:val="24"/>
              </w:rPr>
              <w:t>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lastRenderedPageBreak/>
              <w:t>Meeting schedule</w:t>
            </w:r>
          </w:p>
          <w:p w:rsidR="004726C1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Spreadsheet of external training</w:t>
            </w:r>
          </w:p>
        </w:tc>
        <w:tc>
          <w:tcPr>
            <w:tcW w:w="2551" w:type="dxa"/>
          </w:tcPr>
          <w:p w:rsidR="004F4072" w:rsidRDefault="004F06F6" w:rsidP="004F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Senior leaders have attended relevant training and will use the knowledge gained from this training to ensure all staff understand the concept and rational of the school as a learning organisation</w:t>
            </w:r>
          </w:p>
          <w:p w:rsidR="003209D5" w:rsidRDefault="003209D5" w:rsidP="004F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The WAG ‘questionnaire’ is completed by all staff</w:t>
            </w:r>
            <w:r w:rsidR="00FF19D4">
              <w:rPr>
                <w:sz w:val="24"/>
                <w:szCs w:val="24"/>
              </w:rPr>
              <w:t xml:space="preserve"> and this is used to influence planning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lastRenderedPageBreak/>
              <w:t>Professional Learning Grant</w:t>
            </w: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F4072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to raise the quality of teachers (WAG and CSC course)</w:t>
            </w:r>
          </w:p>
        </w:tc>
        <w:tc>
          <w:tcPr>
            <w:tcW w:w="1948" w:type="dxa"/>
          </w:tcPr>
          <w:p w:rsidR="004F4072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£1500</w:t>
            </w:r>
          </w:p>
        </w:tc>
      </w:tr>
      <w:tr w:rsidR="004F06F6" w:rsidTr="004F4072">
        <w:tc>
          <w:tcPr>
            <w:tcW w:w="988" w:type="dxa"/>
          </w:tcPr>
          <w:p w:rsidR="004F06F6" w:rsidRDefault="009C43C7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4F06F6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 high quality education profession</w:t>
            </w:r>
          </w:p>
        </w:tc>
        <w:tc>
          <w:tcPr>
            <w:tcW w:w="2552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all senior leaders, middle leaders, staff and governors fully understand the new ALN code of practice and that the school is fully </w:t>
            </w:r>
            <w:r w:rsidR="001560B7">
              <w:rPr>
                <w:sz w:val="24"/>
                <w:szCs w:val="24"/>
              </w:rPr>
              <w:t>ready for implementation in 2021</w:t>
            </w:r>
          </w:p>
          <w:p w:rsidR="001560B7" w:rsidRDefault="001560B7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Pr="001560B7">
              <w:rPr>
                <w:sz w:val="24"/>
                <w:szCs w:val="24"/>
              </w:rPr>
              <w:t>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Meeting schedule</w:t>
            </w:r>
          </w:p>
          <w:p w:rsidR="004726C1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Spreadsheet of external training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Diary</w:t>
            </w:r>
          </w:p>
        </w:tc>
        <w:tc>
          <w:tcPr>
            <w:tcW w:w="2551" w:type="dxa"/>
          </w:tcPr>
          <w:p w:rsidR="004F06F6" w:rsidRDefault="004F06F6" w:rsidP="004F06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ALNCO has attended all relevant training</w:t>
            </w:r>
          </w:p>
          <w:p w:rsidR="004F06F6" w:rsidRDefault="004F06F6" w:rsidP="004F06F6">
            <w:pPr>
              <w:rPr>
                <w:sz w:val="24"/>
                <w:szCs w:val="24"/>
              </w:rPr>
            </w:pPr>
          </w:p>
          <w:p w:rsidR="004F06F6" w:rsidRDefault="004F06F6" w:rsidP="009C4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ALNCO has been</w:t>
            </w:r>
            <w:r w:rsidR="009C43C7">
              <w:rPr>
                <w:sz w:val="24"/>
                <w:szCs w:val="24"/>
              </w:rPr>
              <w:t xml:space="preserve"> released from her timetable commitments to start the school based preparation for the new </w:t>
            </w:r>
            <w:r>
              <w:rPr>
                <w:sz w:val="24"/>
                <w:szCs w:val="24"/>
              </w:rPr>
              <w:t xml:space="preserve">ALN code </w:t>
            </w:r>
            <w:r w:rsidR="009C43C7">
              <w:rPr>
                <w:sz w:val="24"/>
                <w:szCs w:val="24"/>
              </w:rPr>
              <w:t>of practice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to raise the quality of teachers (WAG and CSC course)</w:t>
            </w: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  <w:p w:rsidR="004F06F6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training time to consolidate learning from above courses</w:t>
            </w:r>
          </w:p>
          <w:p w:rsidR="0008580C" w:rsidRDefault="0008580C" w:rsidP="00B47065">
            <w:pPr>
              <w:rPr>
                <w:sz w:val="24"/>
                <w:szCs w:val="24"/>
              </w:rPr>
            </w:pPr>
          </w:p>
          <w:p w:rsidR="0008580C" w:rsidRDefault="0008580C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Created a stand-alone TLR for ALN- Added to the staffing structure 20</w:t>
            </w:r>
            <w:r w:rsidR="003209D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9-2020</w:t>
            </w:r>
          </w:p>
        </w:tc>
        <w:tc>
          <w:tcPr>
            <w:tcW w:w="1948" w:type="dxa"/>
          </w:tcPr>
          <w:p w:rsidR="004F06F6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£1600</w:t>
            </w: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  <w:p w:rsidR="004F06F6" w:rsidRDefault="004F06F6" w:rsidP="00B47065">
            <w:pPr>
              <w:rPr>
                <w:sz w:val="24"/>
                <w:szCs w:val="24"/>
              </w:rPr>
            </w:pPr>
          </w:p>
          <w:p w:rsidR="0008580C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£1600</w:t>
            </w:r>
          </w:p>
          <w:p w:rsidR="0008580C" w:rsidRDefault="0008580C" w:rsidP="00B47065">
            <w:pPr>
              <w:rPr>
                <w:sz w:val="24"/>
                <w:szCs w:val="24"/>
              </w:rPr>
            </w:pPr>
          </w:p>
          <w:p w:rsidR="0008580C" w:rsidRDefault="0008580C" w:rsidP="00B47065">
            <w:pPr>
              <w:rPr>
                <w:sz w:val="24"/>
                <w:szCs w:val="24"/>
              </w:rPr>
            </w:pPr>
          </w:p>
          <w:p w:rsidR="0008580C" w:rsidRDefault="0008580C" w:rsidP="00B47065">
            <w:pPr>
              <w:rPr>
                <w:sz w:val="24"/>
                <w:szCs w:val="24"/>
              </w:rPr>
            </w:pPr>
          </w:p>
          <w:p w:rsidR="0008580C" w:rsidRDefault="0008580C" w:rsidP="00B47065">
            <w:pPr>
              <w:rPr>
                <w:sz w:val="24"/>
                <w:szCs w:val="24"/>
              </w:rPr>
            </w:pPr>
          </w:p>
          <w:p w:rsidR="0008580C" w:rsidRDefault="0008580C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£6773</w:t>
            </w:r>
          </w:p>
        </w:tc>
      </w:tr>
      <w:tr w:rsidR="004F06F6" w:rsidTr="004F4072">
        <w:tc>
          <w:tcPr>
            <w:tcW w:w="988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F06F6" w:rsidRDefault="004F06F6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upskill, train and redeploy LSAs to work alongside the ALNCO to ensure the preparation of new style paperwork needed for the new code of practice</w:t>
            </w:r>
          </w:p>
          <w:p w:rsidR="004726C1" w:rsidRDefault="001560B7" w:rsidP="0015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Internal </w:t>
            </w:r>
            <w:r w:rsidRPr="001560B7">
              <w:rPr>
                <w:sz w:val="24"/>
                <w:szCs w:val="24"/>
              </w:rPr>
              <w:t>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lastRenderedPageBreak/>
              <w:t>Meeting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Spreadsheet of external training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School Diary</w:t>
            </w:r>
          </w:p>
        </w:tc>
        <w:tc>
          <w:tcPr>
            <w:tcW w:w="2551" w:type="dxa"/>
          </w:tcPr>
          <w:p w:rsidR="004F06F6" w:rsidRPr="00F501BD" w:rsidRDefault="009C43C7" w:rsidP="00F501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On</w:t>
            </w:r>
            <w:r w:rsidR="00F501BD" w:rsidRPr="00F501BD">
              <w:rPr>
                <w:sz w:val="24"/>
                <w:szCs w:val="24"/>
              </w:rPr>
              <w:t>e page profiles are prepared</w:t>
            </w:r>
          </w:p>
          <w:p w:rsidR="00F501BD" w:rsidRPr="00F501BD" w:rsidRDefault="00F501BD" w:rsidP="00F501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01BD">
              <w:rPr>
                <w:sz w:val="24"/>
                <w:szCs w:val="24"/>
              </w:rPr>
              <w:t>The school Action Plus group is</w:t>
            </w:r>
            <w:r w:rsidR="009C43C7">
              <w:rPr>
                <w:sz w:val="24"/>
                <w:szCs w:val="24"/>
              </w:rPr>
              <w:t xml:space="preserve"> re-assessed and</w:t>
            </w:r>
            <w:r w:rsidRPr="00F501BD">
              <w:rPr>
                <w:sz w:val="24"/>
                <w:szCs w:val="24"/>
              </w:rPr>
              <w:t xml:space="preserve"> correct</w:t>
            </w:r>
          </w:p>
          <w:p w:rsidR="00F501BD" w:rsidRPr="00F501BD" w:rsidRDefault="00F501BD" w:rsidP="00F501B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501BD">
              <w:rPr>
                <w:sz w:val="24"/>
                <w:szCs w:val="24"/>
              </w:rPr>
              <w:t>The ALNCO is trained and prepared to undertake all access arrangements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4F06F6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school staff training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9C43C7" w:rsidRDefault="009C43C7" w:rsidP="00B47065">
            <w:pPr>
              <w:rPr>
                <w:sz w:val="24"/>
                <w:szCs w:val="24"/>
              </w:rPr>
            </w:pPr>
          </w:p>
          <w:p w:rsidR="009C43C7" w:rsidRDefault="009C43C7" w:rsidP="00B47065">
            <w:pPr>
              <w:rPr>
                <w:sz w:val="24"/>
                <w:szCs w:val="24"/>
              </w:rPr>
            </w:pPr>
          </w:p>
          <w:p w:rsidR="009C43C7" w:rsidRDefault="009C43C7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Governors meetings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 Training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LSA Deployment</w:t>
            </w:r>
          </w:p>
        </w:tc>
        <w:tc>
          <w:tcPr>
            <w:tcW w:w="1948" w:type="dxa"/>
          </w:tcPr>
          <w:p w:rsidR="004F06F6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£2000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  <w:p w:rsidR="000568CC" w:rsidRDefault="000568CC" w:rsidP="00B47065">
            <w:pPr>
              <w:rPr>
                <w:sz w:val="24"/>
                <w:szCs w:val="24"/>
              </w:rPr>
            </w:pPr>
          </w:p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£10232</w:t>
            </w:r>
          </w:p>
        </w:tc>
      </w:tr>
      <w:tr w:rsidR="00F501BD" w:rsidTr="004F4072">
        <w:tc>
          <w:tcPr>
            <w:tcW w:w="988" w:type="dxa"/>
          </w:tcPr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</w:tcPr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 high quality education profession</w:t>
            </w:r>
          </w:p>
        </w:tc>
        <w:tc>
          <w:tcPr>
            <w:tcW w:w="2552" w:type="dxa"/>
          </w:tcPr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Ensuring all senior leaders, middle leaders, staff and governors are coherent with the philosophy of the new curriculum</w:t>
            </w:r>
          </w:p>
          <w:p w:rsidR="001560B7" w:rsidRDefault="001560B7" w:rsidP="0015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Internal 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Meeting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Spreadsheet of external training</w:t>
            </w:r>
          </w:p>
          <w:p w:rsidR="004726C1" w:rsidRP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School Diary</w:t>
            </w:r>
          </w:p>
        </w:tc>
        <w:tc>
          <w:tcPr>
            <w:tcW w:w="2551" w:type="dxa"/>
          </w:tcPr>
          <w:p w:rsidR="00F501BD" w:rsidRPr="00F501BD" w:rsidRDefault="00F501BD" w:rsidP="00F5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Deputy </w:t>
            </w:r>
            <w:proofErr w:type="spellStart"/>
            <w:r>
              <w:rPr>
                <w:sz w:val="24"/>
                <w:szCs w:val="24"/>
              </w:rPr>
              <w:t>Headteach</w:t>
            </w:r>
            <w:r w:rsidRPr="00F501BD">
              <w:rPr>
                <w:sz w:val="24"/>
                <w:szCs w:val="24"/>
              </w:rPr>
              <w:t>er</w:t>
            </w:r>
            <w:proofErr w:type="spellEnd"/>
            <w:r w:rsidRPr="00F501BD">
              <w:rPr>
                <w:sz w:val="24"/>
                <w:szCs w:val="24"/>
              </w:rPr>
              <w:t xml:space="preserve"> has attended all relevant training and </w:t>
            </w:r>
            <w:r>
              <w:rPr>
                <w:sz w:val="24"/>
                <w:szCs w:val="24"/>
              </w:rPr>
              <w:t>will use this knowledge to ensure all staff and governors gain an understanding of the new curriculum prior to its implementation in 2022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F501BD" w:rsidRDefault="00F501B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F501BD" w:rsidRDefault="00F501B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to raise the knowledge of the whole school community</w:t>
            </w:r>
            <w:r w:rsidR="002624E5">
              <w:rPr>
                <w:sz w:val="24"/>
                <w:szCs w:val="24"/>
              </w:rPr>
              <w:t xml:space="preserve"> via training as outlined in the ‘planned activity </w:t>
            </w:r>
            <w:r w:rsidR="002624E5" w:rsidRPr="002624E5">
              <w:rPr>
                <w:sz w:val="24"/>
                <w:szCs w:val="24"/>
              </w:rPr>
              <w:t>section</w:t>
            </w:r>
            <w:r w:rsidR="002624E5">
              <w:rPr>
                <w:sz w:val="24"/>
                <w:szCs w:val="24"/>
              </w:rPr>
              <w:t>’</w:t>
            </w:r>
            <w:r w:rsidR="002624E5" w:rsidRPr="002624E5">
              <w:rPr>
                <w:sz w:val="24"/>
                <w:szCs w:val="24"/>
              </w:rPr>
              <w:t xml:space="preserve">. This will include Planning and delivery of the newly allocated WAG inset day </w:t>
            </w:r>
            <w:r w:rsidR="002624E5">
              <w:rPr>
                <w:sz w:val="24"/>
                <w:szCs w:val="24"/>
              </w:rPr>
              <w:t>scheduled for</w:t>
            </w:r>
            <w:r w:rsidR="002624E5" w:rsidRPr="002624E5">
              <w:rPr>
                <w:sz w:val="24"/>
                <w:szCs w:val="24"/>
              </w:rPr>
              <w:t xml:space="preserve"> 2/7/20</w:t>
            </w:r>
          </w:p>
        </w:tc>
        <w:tc>
          <w:tcPr>
            <w:tcW w:w="1948" w:type="dxa"/>
          </w:tcPr>
          <w:p w:rsidR="00F501BD" w:rsidRDefault="00FF19D4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£5000</w:t>
            </w:r>
          </w:p>
        </w:tc>
      </w:tr>
      <w:tr w:rsidR="00D13D2C" w:rsidTr="004F4072">
        <w:tc>
          <w:tcPr>
            <w:tcW w:w="988" w:type="dxa"/>
          </w:tcPr>
          <w:p w:rsidR="00D13D2C" w:rsidRDefault="00D13D2C" w:rsidP="00B4706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3D2C" w:rsidRDefault="00D13D2C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preparation for the ‘new futures’ curriculum staff need to become more conversant with the subject role and how subject collaboration/ continuity of subject delivery can occur</w:t>
            </w:r>
          </w:p>
        </w:tc>
        <w:tc>
          <w:tcPr>
            <w:tcW w:w="2552" w:type="dxa"/>
          </w:tcPr>
          <w:p w:rsidR="00D13D2C" w:rsidRDefault="00D13D2C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Deputy </w:t>
            </w:r>
            <w:proofErr w:type="spellStart"/>
            <w:r>
              <w:rPr>
                <w:sz w:val="24"/>
                <w:szCs w:val="24"/>
              </w:rPr>
              <w:t>Headteacher</w:t>
            </w:r>
            <w:proofErr w:type="spellEnd"/>
            <w:r>
              <w:rPr>
                <w:sz w:val="24"/>
                <w:szCs w:val="24"/>
              </w:rPr>
              <w:t xml:space="preserve"> to provide</w:t>
            </w:r>
            <w:r w:rsidR="007B5BED">
              <w:rPr>
                <w:sz w:val="24"/>
                <w:szCs w:val="24"/>
              </w:rPr>
              <w:t xml:space="preserve"> training as part of staff meetings/ INSET to inform, update staff and to start preparing staff and the school for the introduction of the new curriculum in 2020.</w:t>
            </w:r>
          </w:p>
          <w:p w:rsidR="001560B7" w:rsidRDefault="001560B7" w:rsidP="001560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learning via (please see):</w:t>
            </w:r>
          </w:p>
          <w:p w:rsidR="001560B7" w:rsidRPr="001560B7" w:rsidRDefault="001560B7" w:rsidP="001560B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Internal Inset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lastRenderedPageBreak/>
              <w:t>Meeting schedule</w:t>
            </w:r>
          </w:p>
          <w:p w:rsidR="001560B7" w:rsidRDefault="001560B7" w:rsidP="001560B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560B7">
              <w:rPr>
                <w:sz w:val="24"/>
                <w:szCs w:val="24"/>
              </w:rPr>
              <w:t>Spreadsheet of external training</w:t>
            </w:r>
          </w:p>
          <w:p w:rsidR="007B5BED" w:rsidRPr="003209D5" w:rsidRDefault="001560B7" w:rsidP="003209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209D5">
              <w:rPr>
                <w:sz w:val="24"/>
                <w:szCs w:val="24"/>
              </w:rPr>
              <w:t>School Diary</w:t>
            </w:r>
          </w:p>
          <w:p w:rsidR="004726C1" w:rsidRDefault="004726C1" w:rsidP="004726C1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13D2C" w:rsidRDefault="007B5BED" w:rsidP="00F50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Deputy </w:t>
            </w:r>
            <w:proofErr w:type="spellStart"/>
            <w:r>
              <w:rPr>
                <w:sz w:val="24"/>
                <w:szCs w:val="24"/>
              </w:rPr>
              <w:t>Headteach</w:t>
            </w:r>
            <w:r w:rsidRPr="00F501BD">
              <w:rPr>
                <w:sz w:val="24"/>
                <w:szCs w:val="24"/>
              </w:rPr>
              <w:t>er</w:t>
            </w:r>
            <w:proofErr w:type="spellEnd"/>
            <w:r w:rsidRPr="00F501BD">
              <w:rPr>
                <w:sz w:val="24"/>
                <w:szCs w:val="24"/>
              </w:rPr>
              <w:t xml:space="preserve"> has attended all relevant training and </w:t>
            </w:r>
            <w:r>
              <w:rPr>
                <w:sz w:val="24"/>
                <w:szCs w:val="24"/>
              </w:rPr>
              <w:t>will use this knowledge to ensure all staff and governors gain an understanding of the new curriculum prior to its implementation in 2022</w:t>
            </w:r>
          </w:p>
        </w:tc>
        <w:tc>
          <w:tcPr>
            <w:tcW w:w="2162" w:type="dxa"/>
          </w:tcPr>
          <w:p w:rsidR="004726C1" w:rsidRP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4726C1" w:rsidRDefault="004726C1" w:rsidP="004726C1">
            <w:pPr>
              <w:rPr>
                <w:sz w:val="24"/>
                <w:szCs w:val="24"/>
              </w:rPr>
            </w:pPr>
          </w:p>
          <w:p w:rsidR="007B5BED" w:rsidRDefault="007B5BE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D13D2C" w:rsidRDefault="007B5BE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training</w:t>
            </w:r>
          </w:p>
        </w:tc>
        <w:tc>
          <w:tcPr>
            <w:tcW w:w="1948" w:type="dxa"/>
          </w:tcPr>
          <w:p w:rsidR="00D13D2C" w:rsidRDefault="007B5BE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£2000</w:t>
            </w:r>
          </w:p>
        </w:tc>
      </w:tr>
      <w:tr w:rsidR="007B5BED" w:rsidTr="004F4072">
        <w:tc>
          <w:tcPr>
            <w:tcW w:w="988" w:type="dxa"/>
          </w:tcPr>
          <w:p w:rsidR="007B5BED" w:rsidRDefault="007B5BE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7B5BED" w:rsidRDefault="007B5BE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 high quality education profession</w:t>
            </w:r>
          </w:p>
        </w:tc>
        <w:tc>
          <w:tcPr>
            <w:tcW w:w="2552" w:type="dxa"/>
          </w:tcPr>
          <w:p w:rsidR="002624E5" w:rsidRDefault="007B5BED" w:rsidP="002624E5">
            <w:pPr>
              <w:rPr>
                <w:sz w:val="24"/>
                <w:szCs w:val="24"/>
              </w:rPr>
            </w:pPr>
            <w:r w:rsidRPr="002624E5">
              <w:rPr>
                <w:sz w:val="24"/>
                <w:szCs w:val="24"/>
              </w:rPr>
              <w:t>To p</w:t>
            </w:r>
            <w:r w:rsidR="002624E5">
              <w:rPr>
                <w:sz w:val="24"/>
                <w:szCs w:val="24"/>
              </w:rPr>
              <w:t>rovide a whole school INSET day:</w:t>
            </w:r>
          </w:p>
          <w:p w:rsidR="002624E5" w:rsidRDefault="007B5BED" w:rsidP="002624E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624E5">
              <w:rPr>
                <w:sz w:val="24"/>
                <w:szCs w:val="24"/>
              </w:rPr>
              <w:t xml:space="preserve">to improve teaching and learning via collaboration with </w:t>
            </w:r>
            <w:proofErr w:type="spellStart"/>
            <w:r w:rsidRPr="002624E5">
              <w:rPr>
                <w:sz w:val="24"/>
                <w:szCs w:val="24"/>
              </w:rPr>
              <w:t>Fitzalan</w:t>
            </w:r>
            <w:proofErr w:type="spellEnd"/>
            <w:r w:rsidRPr="002624E5">
              <w:rPr>
                <w:sz w:val="24"/>
                <w:szCs w:val="24"/>
              </w:rPr>
              <w:t xml:space="preserve"> School in Cardiff</w:t>
            </w:r>
            <w:r w:rsidR="001560B7" w:rsidRPr="002624E5">
              <w:rPr>
                <w:sz w:val="24"/>
                <w:szCs w:val="24"/>
              </w:rPr>
              <w:t xml:space="preserve"> (SIG)</w:t>
            </w:r>
            <w:r w:rsidR="002624E5">
              <w:rPr>
                <w:sz w:val="24"/>
                <w:szCs w:val="24"/>
              </w:rPr>
              <w:t>14/2/20</w:t>
            </w:r>
          </w:p>
          <w:p w:rsidR="002624E5" w:rsidRDefault="002624E5" w:rsidP="002624E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provide relevant training and reflection time for staff in preparation for the introduction of the new curriculum</w:t>
            </w:r>
          </w:p>
          <w:p w:rsidR="008225C2" w:rsidRPr="002624E5" w:rsidRDefault="008225C2" w:rsidP="008225C2">
            <w:pPr>
              <w:pStyle w:val="ListParagrap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2/7/20</w:t>
            </w:r>
          </w:p>
        </w:tc>
        <w:tc>
          <w:tcPr>
            <w:tcW w:w="2551" w:type="dxa"/>
          </w:tcPr>
          <w:p w:rsidR="007B5BED" w:rsidRDefault="007B5BED" w:rsidP="00F501BD">
            <w:pPr>
              <w:rPr>
                <w:sz w:val="24"/>
                <w:szCs w:val="24"/>
              </w:rPr>
            </w:pPr>
          </w:p>
        </w:tc>
        <w:tc>
          <w:tcPr>
            <w:tcW w:w="2162" w:type="dxa"/>
          </w:tcPr>
          <w:p w:rsidR="004726C1" w:rsidRDefault="004726C1" w:rsidP="004726C1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Default="008225C2" w:rsidP="004726C1">
            <w:pPr>
              <w:rPr>
                <w:sz w:val="24"/>
                <w:szCs w:val="24"/>
              </w:rPr>
            </w:pPr>
          </w:p>
          <w:p w:rsidR="008225C2" w:rsidRPr="004726C1" w:rsidRDefault="008225C2" w:rsidP="008225C2">
            <w:pPr>
              <w:rPr>
                <w:sz w:val="24"/>
                <w:szCs w:val="24"/>
              </w:rPr>
            </w:pPr>
            <w:r w:rsidRPr="004726C1">
              <w:rPr>
                <w:sz w:val="24"/>
                <w:szCs w:val="24"/>
              </w:rPr>
              <w:t>Professional Learning Grant</w:t>
            </w:r>
          </w:p>
          <w:p w:rsidR="008225C2" w:rsidRDefault="008225C2" w:rsidP="008225C2">
            <w:pPr>
              <w:rPr>
                <w:sz w:val="24"/>
                <w:szCs w:val="24"/>
              </w:rPr>
            </w:pPr>
          </w:p>
          <w:p w:rsidR="008225C2" w:rsidRPr="004726C1" w:rsidRDefault="008225C2" w:rsidP="004726C1">
            <w:pPr>
              <w:rPr>
                <w:sz w:val="24"/>
                <w:szCs w:val="24"/>
              </w:rPr>
            </w:pPr>
          </w:p>
          <w:p w:rsidR="004726C1" w:rsidRDefault="004726C1" w:rsidP="004726C1">
            <w:pPr>
              <w:rPr>
                <w:sz w:val="24"/>
                <w:szCs w:val="24"/>
              </w:rPr>
            </w:pPr>
          </w:p>
          <w:p w:rsidR="007B5BED" w:rsidRDefault="007B5BE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5BED" w:rsidRDefault="007B5BED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Joint school INSET day with </w:t>
            </w:r>
            <w:proofErr w:type="spellStart"/>
            <w:r>
              <w:rPr>
                <w:sz w:val="24"/>
                <w:szCs w:val="24"/>
              </w:rPr>
              <w:t>Fitzalan</w:t>
            </w:r>
            <w:proofErr w:type="spellEnd"/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8225C2" w:rsidRDefault="008225C2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Inset day provided by WAG</w:t>
            </w:r>
          </w:p>
          <w:p w:rsidR="008225C2" w:rsidRDefault="008225C2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  <w:p w:rsidR="002624E5" w:rsidRDefault="002624E5" w:rsidP="00B47065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7B5BED" w:rsidRDefault="002624E5" w:rsidP="00B470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</w:t>
            </w:r>
            <w:r w:rsidR="007B5BED">
              <w:rPr>
                <w:sz w:val="24"/>
                <w:szCs w:val="24"/>
              </w:rPr>
              <w:t>000</w:t>
            </w:r>
          </w:p>
        </w:tc>
      </w:tr>
      <w:tr w:rsidR="007B5BED" w:rsidTr="00225D1C">
        <w:tc>
          <w:tcPr>
            <w:tcW w:w="10804" w:type="dxa"/>
            <w:gridSpan w:val="5"/>
            <w:vMerge w:val="restart"/>
          </w:tcPr>
          <w:p w:rsidR="007B5BED" w:rsidRDefault="007B5BE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5BED" w:rsidRPr="007B5BED" w:rsidRDefault="007B5BED" w:rsidP="00B47065">
            <w:pPr>
              <w:rPr>
                <w:b/>
                <w:sz w:val="24"/>
                <w:szCs w:val="24"/>
              </w:rPr>
            </w:pPr>
            <w:r w:rsidRPr="007B5BED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1948" w:type="dxa"/>
          </w:tcPr>
          <w:p w:rsidR="007B5BED" w:rsidRPr="007B5BED" w:rsidRDefault="002624E5" w:rsidP="00B47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£38</w:t>
            </w:r>
            <w:r w:rsidR="00C27B1D">
              <w:rPr>
                <w:b/>
                <w:sz w:val="24"/>
                <w:szCs w:val="24"/>
              </w:rPr>
              <w:t>,</w:t>
            </w:r>
            <w:r w:rsidR="00FF19D4">
              <w:rPr>
                <w:b/>
                <w:sz w:val="24"/>
                <w:szCs w:val="24"/>
              </w:rPr>
              <w:t>205</w:t>
            </w:r>
          </w:p>
        </w:tc>
      </w:tr>
      <w:tr w:rsidR="007B5BED" w:rsidTr="00225D1C">
        <w:tc>
          <w:tcPr>
            <w:tcW w:w="10804" w:type="dxa"/>
            <w:gridSpan w:val="5"/>
            <w:vMerge/>
          </w:tcPr>
          <w:p w:rsidR="007B5BED" w:rsidRDefault="007B5BE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5BED" w:rsidRPr="007B5BED" w:rsidRDefault="007B5BED" w:rsidP="00B47065">
            <w:pPr>
              <w:rPr>
                <w:b/>
                <w:sz w:val="24"/>
                <w:szCs w:val="24"/>
              </w:rPr>
            </w:pPr>
            <w:r w:rsidRPr="007B5BED">
              <w:rPr>
                <w:b/>
                <w:sz w:val="24"/>
                <w:szCs w:val="24"/>
              </w:rPr>
              <w:t>Total Allocation</w:t>
            </w:r>
          </w:p>
        </w:tc>
        <w:tc>
          <w:tcPr>
            <w:tcW w:w="1948" w:type="dxa"/>
          </w:tcPr>
          <w:p w:rsidR="007B5BED" w:rsidRPr="007B5BED" w:rsidRDefault="00C27B1D" w:rsidP="00B470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£35,327</w:t>
            </w:r>
          </w:p>
        </w:tc>
      </w:tr>
      <w:tr w:rsidR="007B5BED" w:rsidTr="00225D1C">
        <w:tc>
          <w:tcPr>
            <w:tcW w:w="10804" w:type="dxa"/>
            <w:gridSpan w:val="5"/>
            <w:vMerge/>
          </w:tcPr>
          <w:p w:rsidR="007B5BED" w:rsidRDefault="007B5BED" w:rsidP="00B47065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7B5BED" w:rsidRPr="007B5BED" w:rsidRDefault="007B5BED" w:rsidP="00B47065">
            <w:pPr>
              <w:rPr>
                <w:b/>
                <w:sz w:val="24"/>
                <w:szCs w:val="24"/>
              </w:rPr>
            </w:pPr>
            <w:r w:rsidRPr="007B5BED">
              <w:rPr>
                <w:b/>
                <w:sz w:val="24"/>
                <w:szCs w:val="24"/>
              </w:rPr>
              <w:t>Variance</w:t>
            </w:r>
          </w:p>
        </w:tc>
        <w:tc>
          <w:tcPr>
            <w:tcW w:w="1948" w:type="dxa"/>
          </w:tcPr>
          <w:p w:rsidR="007B5BED" w:rsidRPr="007B5BED" w:rsidRDefault="0008580C" w:rsidP="00C27B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2624E5">
              <w:rPr>
                <w:b/>
                <w:sz w:val="24"/>
                <w:szCs w:val="24"/>
              </w:rPr>
              <w:t>2</w:t>
            </w:r>
            <w:r w:rsidR="00C27B1D">
              <w:rPr>
                <w:b/>
                <w:sz w:val="24"/>
                <w:szCs w:val="24"/>
              </w:rPr>
              <w:t>878</w:t>
            </w:r>
          </w:p>
        </w:tc>
      </w:tr>
    </w:tbl>
    <w:p w:rsidR="00B47065" w:rsidRPr="00B47065" w:rsidRDefault="00B47065" w:rsidP="00B47065">
      <w:pPr>
        <w:rPr>
          <w:sz w:val="24"/>
          <w:szCs w:val="24"/>
        </w:rPr>
      </w:pPr>
    </w:p>
    <w:sectPr w:rsidR="00B47065" w:rsidRPr="00B47065" w:rsidSect="004F06F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EA"/>
    <w:multiLevelType w:val="hybridMultilevel"/>
    <w:tmpl w:val="0E86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65D"/>
    <w:multiLevelType w:val="hybridMultilevel"/>
    <w:tmpl w:val="770A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E2867"/>
    <w:multiLevelType w:val="hybridMultilevel"/>
    <w:tmpl w:val="5322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F0325"/>
    <w:multiLevelType w:val="hybridMultilevel"/>
    <w:tmpl w:val="7C3A5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C28D6"/>
    <w:multiLevelType w:val="hybridMultilevel"/>
    <w:tmpl w:val="8E585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65"/>
    <w:rsid w:val="000568CC"/>
    <w:rsid w:val="0008580C"/>
    <w:rsid w:val="001560B7"/>
    <w:rsid w:val="002624E5"/>
    <w:rsid w:val="002F43BB"/>
    <w:rsid w:val="003209D5"/>
    <w:rsid w:val="00451A79"/>
    <w:rsid w:val="004726C1"/>
    <w:rsid w:val="004F06F6"/>
    <w:rsid w:val="004F4072"/>
    <w:rsid w:val="007B5BED"/>
    <w:rsid w:val="007C27FF"/>
    <w:rsid w:val="008225C2"/>
    <w:rsid w:val="009C43C7"/>
    <w:rsid w:val="00A107FF"/>
    <w:rsid w:val="00B47065"/>
    <w:rsid w:val="00C27B1D"/>
    <w:rsid w:val="00D13D2C"/>
    <w:rsid w:val="00E0536F"/>
    <w:rsid w:val="00E67423"/>
    <w:rsid w:val="00F501BD"/>
    <w:rsid w:val="00F92DDE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EC7FE"/>
  <w15:chartTrackingRefBased/>
  <w15:docId w15:val="{0EF4E860-4068-41C5-8DD4-31004130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A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Merrills</dc:creator>
  <cp:keywords/>
  <dc:description/>
  <cp:lastModifiedBy>F Greville</cp:lastModifiedBy>
  <cp:revision>2</cp:revision>
  <cp:lastPrinted>2019-02-22T13:31:00Z</cp:lastPrinted>
  <dcterms:created xsi:type="dcterms:W3CDTF">2019-10-16T14:09:00Z</dcterms:created>
  <dcterms:modified xsi:type="dcterms:W3CDTF">2019-10-16T14:09:00Z</dcterms:modified>
</cp:coreProperties>
</file>